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2018. DECEMBER 10-ÉN EURÓPA-SZERTE MEGMOZDULNAK A CIVIL SZERVEZETEK: NÉLKÜLÜNK NEM MEGY!</w: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contextualSpacing w:val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70 éve, 1948. december 10-én fogadták el az Emberi Jogok Egyetemes Nyilatkozatát.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contextualSpacing w:val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 demokratikus, független civil szervezetek és mozgalmak minden egyes nap rászorulók milliói számára nyújtanak segítséget vagy szolgáltatásokat, mozgósítják az embereket és kiállnak a közügyekért azért, hogy hozzájáruljanak a Nyilatkozatban foglaltak megvalósításához és érvényre juttatásához.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Európa-szerte érünk el eredményeket nap mint nap, és erre büszkék vagyunk!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Mindennapos munkánk során ellenzünk minden arra irányuló kísérletet, hogy embereket fosszanak meg jogaiktól identitásuk, nemük vagy szexuális irányultságuk, társadalmi-gazdasági helyzetük vagy nemzetiségük miatt. Tevékenységeink során konkrét eszközökkel orvosoljuk azokat a társadalmi károkat, amelyeket a magánérdekek közérdek elé helyezése okoz.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contextualSpacing w:val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Mindennapos munkánk során hozzájárulunk a demokrácia, az egyenlőség és a szolidaritás megteremtéséhez mindenki számára – miközben Európában ezek az értékek veszélyben vannak, és egyre terjed az illiberalizmus, az egyenlőtlenség, a szegénység, a bizonytalanság és a társadalmi megosztottság. 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contextualSpacing w:val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Mi, a polgári jogi aktivisták és az emberi jogok védelmezői nyomás alatt vagyunk ma az Európai Unióban. Akárcsak Magyarországon, sok más uniós országban is korlátozott a civilek mozgástere és az alapvető szabadságjogok. 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contextualSpacing w:val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Az emberi jogokat népszerűsítő és védő civil szervezetek és mozgalmak gyűlöletkampányokkal szembesülnek. A bevándorlók és menedékkérők felé kinyilvánított szolidaritást és humanitárius segítséget kriminalizálják. Az illiberális kormányok jogszabályai és bírósági ítéletei a szervezetek és aktivisták megfélemlítésére törnek.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contextualSpacing w:val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Amikor kritikus szerepünket figyelmen kívül hagyják, tagadják, vagy fenyegetik, az egész demokratikus tér zsugorodik.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contextualSpacing w:val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contextualSpacing w:val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December 10-én 27 országban több mint 100 független és demokratikus civil szervezet és platform áll ki a civil büszkeség napján. Nagyvárosokban és kisközösségekben, munkahelyeinken vagy a közterületeken gyülekezünk, több mint 200 helyi kezdeményezést szerveztünk, amelyek több mint 100 000 embert vonzanak on- és offline tevékenységeken keresztül Európa-szerte.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contextualSpacing w:val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Büszkék vagyunk az általunk végzett munkára! Nem múlhat el egy nap sem anélkül, hogy tennénk azért, hogy megvédjük az emberek jogait.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contextualSpacing w:val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Ezen a napon szeretnénk bemutatni azokat az értékeket, amelyeket a civil szervezetek és mozgalmak hoznak a társadalomba. Elkötelezzük magunkat amellett, hogy kiállunk minden, a civil tér elleni támadás ellen.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contextualSpacing w:val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Követeljük, hogy a nemzeti és európai intézmények és politikai vezetők feleljenek meg az Emberi Jogok Egyetemes Nyilatkozatának. Követeljük, hogy ismerjék el, és támogassák az emberi jogok és a demokrácia védelme érdekében végzett tevékenységeinket.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contextualSpacing w:val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Az európai választásokhoz is kapcsolódó független kampányunkat a „Tegyük Európát mindenki számára naggyá" szlogen fémjelzi. December 10. fontos mérföldkő az üzenetünk célba juttatásában: Európa jövője vagy a demokráciáról, az egyenlőségről, a szolidaritásról és a befogadásról szól majd – vagy egyáltalán nem lesz.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Akciók és események Magyarországon december 10-én: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Garamond" w:cs="Garamond" w:eastAsia="Garamond" w:hAnsi="Garamond"/>
          <w:sz w:val="28"/>
          <w:szCs w:val="28"/>
        </w:rPr>
      </w:pPr>
      <w:hyperlink r:id="rId6">
        <w:r w:rsidDel="00000000" w:rsidR="00000000" w:rsidRPr="00000000">
          <w:rPr>
            <w:rFonts w:ascii="Garamond" w:cs="Garamond" w:eastAsia="Garamond" w:hAnsi="Garamond"/>
            <w:color w:val="1155cc"/>
            <w:sz w:val="28"/>
            <w:szCs w:val="28"/>
            <w:u w:val="single"/>
            <w:rtl w:val="0"/>
          </w:rPr>
          <w:t xml:space="preserve">Utcazene az utcán élőkért</w:t>
        </w:r>
      </w:hyperlink>
      <w:r w:rsidDel="00000000" w:rsidR="00000000" w:rsidRPr="00000000">
        <w:rPr>
          <w:rFonts w:ascii="Garamond" w:cs="Garamond" w:eastAsia="Garamond" w:hAnsi="Garamond"/>
          <w:sz w:val="28"/>
          <w:szCs w:val="28"/>
          <w:rtl w:val="0"/>
        </w:rPr>
        <w:t xml:space="preserve"> - </w:t>
      </w:r>
      <w:hyperlink r:id="rId7">
        <w:r w:rsidDel="00000000" w:rsidR="00000000" w:rsidRPr="00000000">
          <w:rPr>
            <w:rFonts w:ascii="Garamond" w:cs="Garamond" w:eastAsia="Garamond" w:hAnsi="Garamond"/>
            <w:color w:val="1155cc"/>
            <w:sz w:val="28"/>
            <w:szCs w:val="28"/>
            <w:u w:val="single"/>
            <w:rtl w:val="0"/>
          </w:rPr>
          <w:t xml:space="preserve">Amnesty International Magyarország rendezvénye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Garamond" w:cs="Garamond" w:eastAsia="Garamond" w:hAnsi="Garamond"/>
          <w:sz w:val="28"/>
          <w:szCs w:val="28"/>
        </w:rPr>
      </w:pPr>
      <w:hyperlink r:id="rId8">
        <w:r w:rsidDel="00000000" w:rsidR="00000000" w:rsidRPr="00000000">
          <w:rPr>
            <w:rFonts w:ascii="Garamond" w:cs="Garamond" w:eastAsia="Garamond" w:hAnsi="Garamond"/>
            <w:color w:val="1155cc"/>
            <w:sz w:val="28"/>
            <w:szCs w:val="28"/>
            <w:u w:val="single"/>
            <w:rtl w:val="0"/>
          </w:rPr>
          <w:t xml:space="preserve">Bródy János koncert - A human rights 70. évfordulója tiszteletére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sz w:val="28"/>
          <w:szCs w:val="28"/>
          <w:rtl w:val="0"/>
        </w:rPr>
        <w:t xml:space="preserve">A sajtóközleményt kibocsátó szervezetek: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contextualSpacing w:val="0"/>
        <w:jc w:val="both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sz w:val="28"/>
          <w:szCs w:val="28"/>
          <w:rtl w:val="0"/>
        </w:rPr>
        <w:t xml:space="preserve">Akciókutatók a Fenntarthatóságért Egyesület (AKUT)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contextualSpacing w:val="0"/>
        <w:jc w:val="both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sz w:val="28"/>
          <w:szCs w:val="28"/>
          <w:rtl w:val="0"/>
        </w:rPr>
        <w:t xml:space="preserve">Amnesty International Magyarország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contextualSpacing w:val="0"/>
        <w:jc w:val="both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sz w:val="28"/>
          <w:szCs w:val="28"/>
          <w:rtl w:val="0"/>
        </w:rPr>
        <w:t xml:space="preserve">Az emberség erejével Alapítvány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contextualSpacing w:val="0"/>
        <w:jc w:val="both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sz w:val="28"/>
          <w:szCs w:val="28"/>
          <w:rtl w:val="0"/>
        </w:rPr>
        <w:t xml:space="preserve">Civil Kollégium Alapítvány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contextualSpacing w:val="0"/>
        <w:jc w:val="both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sz w:val="28"/>
          <w:szCs w:val="28"/>
          <w:rtl w:val="0"/>
        </w:rPr>
        <w:t xml:space="preserve">Haver Alapítvány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contextualSpacing w:val="0"/>
        <w:jc w:val="both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sz w:val="28"/>
          <w:szCs w:val="28"/>
          <w:rtl w:val="0"/>
        </w:rPr>
        <w:t xml:space="preserve">Humán Platform Egyesület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contextualSpacing w:val="0"/>
        <w:jc w:val="both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sz w:val="28"/>
          <w:szCs w:val="28"/>
          <w:rtl w:val="0"/>
        </w:rPr>
        <w:t xml:space="preserve">K-Monitor Közhasznú Egyesület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contextualSpacing w:val="0"/>
        <w:jc w:val="both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sz w:val="28"/>
          <w:szCs w:val="28"/>
          <w:rtl w:val="0"/>
        </w:rPr>
        <w:t xml:space="preserve">Magyar Helsinki Bizottság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contextualSpacing w:val="0"/>
        <w:jc w:val="both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sz w:val="28"/>
          <w:szCs w:val="28"/>
          <w:rtl w:val="0"/>
        </w:rPr>
        <w:t xml:space="preserve">MASZK Egyesület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contextualSpacing w:val="0"/>
        <w:jc w:val="both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sz w:val="28"/>
          <w:szCs w:val="28"/>
          <w:rtl w:val="0"/>
        </w:rPr>
        <w:t xml:space="preserve">Ökotárs Alapítvány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contextualSpacing w:val="0"/>
        <w:jc w:val="both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sz w:val="28"/>
          <w:szCs w:val="28"/>
          <w:rtl w:val="0"/>
        </w:rPr>
        <w:t xml:space="preserve">Védegylet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sz w:val="28"/>
          <w:szCs w:val="28"/>
          <w:rtl w:val="0"/>
        </w:rPr>
        <w:t xml:space="preserve">További információ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Garamond" w:cs="Garamond" w:eastAsia="Garamond" w:hAnsi="Garamond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sz w:val="28"/>
          <w:szCs w:val="28"/>
          <w:rtl w:val="0"/>
        </w:rPr>
        <w:t xml:space="preserve">Móra Veronika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Garamond" w:cs="Garamond" w:eastAsia="Garamond" w:hAnsi="Garamond"/>
          <w:sz w:val="28"/>
          <w:szCs w:val="28"/>
        </w:rPr>
      </w:pPr>
      <w:hyperlink r:id="rId9">
        <w:r w:rsidDel="00000000" w:rsidR="00000000" w:rsidRPr="00000000">
          <w:rPr>
            <w:rFonts w:ascii="Garamond" w:cs="Garamond" w:eastAsia="Garamond" w:hAnsi="Garamond"/>
            <w:color w:val="1155cc"/>
            <w:sz w:val="28"/>
            <w:szCs w:val="28"/>
            <w:u w:val="single"/>
            <w:rtl w:val="0"/>
          </w:rPr>
          <w:t xml:space="preserve">move@okotars.hu</w:t>
        </w:r>
      </w:hyperlink>
      <w:r w:rsidDel="00000000" w:rsidR="00000000" w:rsidRPr="00000000">
        <w:rPr>
          <w:rFonts w:ascii="Garamond" w:cs="Garamond" w:eastAsia="Garamond" w:hAnsi="Garamond"/>
          <w:color w:val="222222"/>
          <w:sz w:val="28"/>
          <w:szCs w:val="28"/>
          <w:highlight w:val="white"/>
          <w:rtl w:val="0"/>
        </w:rPr>
        <w:t xml:space="preserve"> // ​</w:t>
      </w: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highlight w:val="white"/>
          <w:rtl w:val="0"/>
        </w:rPr>
        <w:t xml:space="preserve">+36 1 411 3500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 nemzetközi kampánnyal kapcsolatban itt lehet érdeklődni: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Alexandrina NAJMOWICZ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hyperlink r:id="rId10">
        <w:r w:rsidDel="00000000" w:rsidR="00000000" w:rsidRPr="00000000">
          <w:rPr>
            <w:rFonts w:ascii="Garamond" w:cs="Garamond" w:eastAsia="Garamond" w:hAnsi="Garamond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anajmowicz@civic-forum.eu</w:t>
        </w:r>
      </w:hyperlink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// +33 180 05 19 12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 nemzetközi kampánnyal kapcsolatban további információ elérhető </w:t>
      </w:r>
      <w:hyperlink r:id="rId11">
        <w:r w:rsidDel="00000000" w:rsidR="00000000" w:rsidRPr="00000000">
          <w:rPr>
            <w:rFonts w:ascii="Garamond" w:cs="Garamond" w:eastAsia="Garamond" w:hAnsi="Garamond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itt</w:t>
        </w:r>
      </w:hyperlink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sectPr>
      <w:headerReference r:id="rId12" w:type="default"/>
      <w:footerReference r:id="rId13" w:type="default"/>
      <w:pgSz w:h="16838" w:w="11906"/>
      <w:pgMar w:bottom="1417" w:top="1417" w:left="1417" w:right="1417" w:header="708" w:footer="3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2"/>
      <w:tblW w:w="9072.0" w:type="dxa"/>
      <w:jc w:val="left"/>
      <w:tblInd w:w="0.0" w:type="dxa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4499"/>
      <w:gridCol w:w="4573"/>
      <w:tblGridChange w:id="0">
        <w:tblGrid>
          <w:gridCol w:w="4499"/>
          <w:gridCol w:w="4573"/>
        </w:tblGrid>
      </w:tblGridChange>
    </w:tblGrid>
    <w:tr>
      <w:tc>
        <w:tcPr/>
        <w:p w:rsidR="00000000" w:rsidDel="00000000" w:rsidP="00000000" w:rsidRDefault="00000000" w:rsidRPr="00000000" w14:paraId="00000033">
          <w:pPr>
            <w:keepNext w:val="0"/>
            <w:keepLines w:val="0"/>
            <w:widowControl w:val="1"/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shd w:fill="auto" w:val="clear"/>
            <w:tabs>
              <w:tab w:val="center" w:pos="4536"/>
              <w:tab w:val="right" w:pos="9072"/>
            </w:tabs>
            <w:spacing w:after="0" w:before="0" w:line="240" w:lineRule="auto"/>
            <w:ind w:left="0" w:right="0" w:firstLine="0"/>
            <w:contextualSpacing w:val="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  <w:drawing>
              <wp:inline distB="0" distT="0" distL="0" distR="0">
                <wp:extent cx="2057400" cy="774927"/>
                <wp:effectExtent b="0" l="0" r="0" t="0"/>
                <wp:docPr id="3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77492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34">
          <w:pPr>
            <w:keepNext w:val="0"/>
            <w:keepLines w:val="0"/>
            <w:widowControl w:val="1"/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shd w:fill="auto" w:val="clear"/>
            <w:tabs>
              <w:tab w:val="center" w:pos="4570"/>
            </w:tabs>
            <w:spacing w:after="0" w:before="0" w:line="240" w:lineRule="auto"/>
            <w:ind w:left="0" w:right="-142" w:firstLine="0"/>
            <w:contextualSpacing w:val="0"/>
            <w:jc w:val="righ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  <w:drawing>
              <wp:inline distB="0" distT="0" distL="0" distR="0">
                <wp:extent cx="2446020" cy="815340"/>
                <wp:effectExtent b="0" l="0" r="0" t="0"/>
                <wp:docPr descr="70_Years_UDHR_LOGO_E-01" id="5" name="image1.png"/>
                <a:graphic>
                  <a:graphicData uri="http://schemas.openxmlformats.org/drawingml/2006/picture">
                    <pic:pic>
                      <pic:nvPicPr>
                        <pic:cNvPr descr="70_Years_UDHR_LOGO_E-01" id="0" name="image1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6020" cy="81534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contextualSpacing w:val="0"/>
      <w:jc w:val="left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9072.0" w:type="dxa"/>
      <w:jc w:val="left"/>
      <w:tblInd w:w="0.0" w:type="dxa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4356"/>
      <w:gridCol w:w="4716"/>
      <w:tblGridChange w:id="0">
        <w:tblGrid>
          <w:gridCol w:w="4356"/>
          <w:gridCol w:w="4716"/>
        </w:tblGrid>
      </w:tblGridChange>
    </w:tblGrid>
    <w:tr>
      <w:tc>
        <w:tcPr/>
        <w:p w:rsidR="00000000" w:rsidDel="00000000" w:rsidP="00000000" w:rsidRDefault="00000000" w:rsidRPr="00000000" w14:paraId="0000002D">
          <w:pPr>
            <w:keepNext w:val="0"/>
            <w:keepLines w:val="0"/>
            <w:widowControl w:val="1"/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shd w:fill="auto" w:val="clear"/>
            <w:tabs>
              <w:tab w:val="center" w:pos="4536"/>
              <w:tab w:val="right" w:pos="9072"/>
            </w:tabs>
            <w:spacing w:after="0" w:before="0" w:line="240" w:lineRule="auto"/>
            <w:ind w:left="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  <w:drawing>
              <wp:inline distB="0" distT="0" distL="0" distR="0">
                <wp:extent cx="943293" cy="1009722"/>
                <wp:effectExtent b="0" l="0" r="0" t="0"/>
                <wp:docPr id="2" name="image4.jpg"/>
                <a:graphic>
                  <a:graphicData uri="http://schemas.openxmlformats.org/drawingml/2006/picture">
                    <pic:pic>
                      <pic:nvPicPr>
                        <pic:cNvPr id="0" name="image4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3293" cy="1009722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             </w:t>
          </w:r>
          <w:r w:rsidDel="00000000" w:rsidR="00000000" w:rsidRPr="00000000">
            <w:rPr>
              <w:rtl w:val="0"/>
            </w:rPr>
            <w:t xml:space="preserve"> 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 </w:t>
          </w:r>
          <w:r w:rsidDel="00000000" w:rsidR="00000000" w:rsidRPr="00000000">
            <w:rPr/>
            <w:drawing>
              <wp:inline distB="114300" distT="114300" distL="114300" distR="114300">
                <wp:extent cx="787717" cy="787717"/>
                <wp:effectExtent b="0" l="0" r="0" t="0"/>
                <wp:docPr id="1" name="image5.jpg"/>
                <a:graphic>
                  <a:graphicData uri="http://schemas.openxmlformats.org/drawingml/2006/picture">
                    <pic:pic>
                      <pic:nvPicPr>
                        <pic:cNvPr id="0" name="image5.jp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7717" cy="78771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2E">
          <w:pPr>
            <w:contextualSpacing w:val="0"/>
            <w:jc w:val="right"/>
            <w:rPr/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tabs>
              <w:tab w:val="left" w:pos="3276"/>
            </w:tabs>
            <w:contextualSpacing w:val="0"/>
            <w:rPr/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0">
          <w:pPr>
            <w:tabs>
              <w:tab w:val="left" w:pos="3276"/>
            </w:tabs>
            <w:contextualSpacing w:val="0"/>
            <w:jc w:val="left"/>
            <w:rPr/>
          </w:pPr>
          <w:r w:rsidDel="00000000" w:rsidR="00000000" w:rsidRPr="00000000">
            <w:rPr>
              <w:rtl w:val="0"/>
            </w:rPr>
            <w:t xml:space="preserve">                    </w:t>
          </w:r>
          <w:r w:rsidDel="00000000" w:rsidR="00000000" w:rsidRPr="00000000">
            <w:rPr/>
            <w:drawing>
              <wp:inline distB="0" distT="0" distL="0" distR="0">
                <wp:extent cx="1809433" cy="603144"/>
                <wp:effectExtent b="0" l="0" r="0" t="0"/>
                <wp:docPr descr="Website-logo" id="4" name="image3.png"/>
                <a:graphic>
                  <a:graphicData uri="http://schemas.openxmlformats.org/drawingml/2006/picture">
                    <pic:pic>
                      <pic:nvPicPr>
                        <pic:cNvPr descr="Website-logo" id="0" name="image3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9433" cy="60314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hu-H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megacampaign.eu/joint-action-day-10-december-2018/" TargetMode="External"/><Relationship Id="rId10" Type="http://schemas.openxmlformats.org/officeDocument/2006/relationships/hyperlink" Target="mailto:anajmowicz@civic-forum.eu" TargetMode="External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move@okotars.hu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facebook.com/events/325448198235492/" TargetMode="External"/><Relationship Id="rId7" Type="http://schemas.openxmlformats.org/officeDocument/2006/relationships/hyperlink" Target="https://www.amnesty.hu/?fbclid=IwAR0OAGDhx9RiI5PsVo0bbTKQMlMY1aGGvfPjnDu1c9SXIO70DocVWAEf4Ak" TargetMode="External"/><Relationship Id="rId8" Type="http://schemas.openxmlformats.org/officeDocument/2006/relationships/hyperlink" Target="https://brody-janos-koncert-a-human-rights-70-evforduloja-tiszte.broadway.hu/2018-12-10-19-30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Relationship Id="rId2" Type="http://schemas.openxmlformats.org/officeDocument/2006/relationships/image" Target="media/image5.jp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